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center"/>
        <w:rPr>
          <w:rFonts w:ascii="黑体" w:eastAsia="黑体"/>
        </w:rPr>
      </w:pPr>
      <w:r>
        <w:rPr>
          <w:rFonts w:hint="eastAsia" w:ascii="黑体" w:eastAsia="黑体"/>
        </w:rPr>
        <w:t>监护仪</w:t>
      </w:r>
      <w:r>
        <w:rPr>
          <w:rFonts w:hint="eastAsia" w:ascii="黑体" w:eastAsia="黑体"/>
          <w:lang w:eastAsia="zh-CN"/>
        </w:rPr>
        <w:t>技术</w:t>
      </w:r>
      <w:r>
        <w:rPr>
          <w:rFonts w:hint="eastAsia" w:ascii="黑体" w:eastAsia="黑体"/>
        </w:rPr>
        <w:t>参数</w:t>
      </w:r>
    </w:p>
    <w:p>
      <w:pPr>
        <w:autoSpaceDE w:val="0"/>
        <w:autoSpaceDN w:val="0"/>
        <w:adjustRightInd w:val="0"/>
        <w:spacing w:line="360" w:lineRule="auto"/>
        <w:ind w:left="420" w:left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2.1、一体化便携监护仪，整机无风扇设计。</w:t>
      </w:r>
    </w:p>
    <w:p>
      <w:pPr>
        <w:autoSpaceDE w:val="0"/>
        <w:autoSpaceDN w:val="0"/>
        <w:adjustRightInd w:val="0"/>
        <w:spacing w:line="360" w:lineRule="auto"/>
        <w:ind w:left="420" w:left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/>
          <w:sz w:val="24"/>
        </w:rPr>
        <w:t>2.2、配置提手,方便移动。</w:t>
      </w:r>
      <w:r>
        <w:rPr>
          <w:rFonts w:hint="eastAsia" w:ascii="宋体" w:hAnsi="宋体" w:cs="宋体"/>
          <w:kern w:val="0"/>
          <w:sz w:val="24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ind w:left="420" w:left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2.3、≥12.1英寸彩</w:t>
      </w:r>
      <w:r>
        <w:rPr>
          <w:rFonts w:ascii="宋体" w:hAnsi="宋体"/>
          <w:sz w:val="24"/>
        </w:rPr>
        <w:t>色</w:t>
      </w:r>
      <w:r>
        <w:rPr>
          <w:rFonts w:hint="eastAsia" w:ascii="宋体" w:hAnsi="宋体"/>
          <w:sz w:val="24"/>
        </w:rPr>
        <w:t>液晶触摸屏，分辨率高达</w:t>
      </w:r>
      <w:r>
        <w:rPr>
          <w:rFonts w:ascii="宋体" w:hAnsi="宋体"/>
          <w:sz w:val="24"/>
        </w:rPr>
        <w:t>1280</w:t>
      </w:r>
      <w:r>
        <w:rPr>
          <w:rFonts w:hint="eastAsia" w:ascii="宋体" w:hAnsi="宋体"/>
          <w:sz w:val="24"/>
        </w:rPr>
        <w:t>*</w:t>
      </w:r>
      <w:r>
        <w:rPr>
          <w:rFonts w:ascii="宋体" w:hAnsi="宋体"/>
          <w:sz w:val="24"/>
        </w:rPr>
        <w:t>8</w:t>
      </w:r>
      <w:r>
        <w:rPr>
          <w:rFonts w:hint="eastAsia" w:ascii="宋体" w:hAnsi="宋体"/>
          <w:sz w:val="24"/>
        </w:rPr>
        <w:t>00像素或更高，≥8通</w:t>
      </w:r>
      <w:r>
        <w:rPr>
          <w:rFonts w:ascii="宋体" w:hAnsi="宋体"/>
          <w:sz w:val="24"/>
        </w:rPr>
        <w:t>道</w:t>
      </w:r>
      <w:r>
        <w:rPr>
          <w:rFonts w:hint="eastAsia" w:ascii="宋体" w:hAnsi="宋体"/>
          <w:sz w:val="24"/>
        </w:rPr>
        <w:t>波形</w:t>
      </w:r>
      <w:r>
        <w:rPr>
          <w:rFonts w:ascii="宋体" w:hAnsi="宋体"/>
          <w:sz w:val="24"/>
        </w:rPr>
        <w:t>显示</w:t>
      </w:r>
      <w:r>
        <w:rPr>
          <w:rFonts w:hint="eastAsia" w:ascii="宋体" w:hAnsi="宋体"/>
          <w:sz w:val="24"/>
        </w:rPr>
        <w:t>。</w:t>
      </w:r>
    </w:p>
    <w:p>
      <w:pPr>
        <w:autoSpaceDE w:val="0"/>
        <w:autoSpaceDN w:val="0"/>
        <w:adjustRightInd w:val="0"/>
        <w:spacing w:line="360" w:lineRule="auto"/>
        <w:ind w:left="420" w:left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2.4、屏幕采用最新电容屏非电阻屏，显示屏可支持</w:t>
      </w:r>
      <w:r>
        <w:rPr>
          <w:rFonts w:ascii="宋体" w:hAnsi="宋体"/>
          <w:sz w:val="24"/>
        </w:rPr>
        <w:t>亮度自动调节</w:t>
      </w:r>
      <w:r>
        <w:rPr>
          <w:rFonts w:hint="eastAsia" w:ascii="宋体" w:hAnsi="宋体"/>
          <w:sz w:val="24"/>
        </w:rPr>
        <w:t>功能</w:t>
      </w:r>
      <w:r>
        <w:rPr>
          <w:rFonts w:ascii="宋体" w:hAnsi="宋体"/>
          <w:sz w:val="24"/>
        </w:rPr>
        <w:t>。</w:t>
      </w:r>
    </w:p>
    <w:p>
      <w:pPr>
        <w:autoSpaceDE w:val="0"/>
        <w:autoSpaceDN w:val="0"/>
        <w:adjustRightInd w:val="0"/>
        <w:spacing w:line="360" w:lineRule="auto"/>
        <w:ind w:left="420" w:left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2.5.、屏幕倾斜10~15度设计，符合人机工程学，便于临床团队观察和操作。</w:t>
      </w:r>
    </w:p>
    <w:p>
      <w:pPr>
        <w:autoSpaceDE w:val="0"/>
        <w:autoSpaceDN w:val="0"/>
        <w:adjustRightInd w:val="0"/>
        <w:spacing w:line="360" w:lineRule="auto"/>
        <w:ind w:left="420" w:left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2.6、内置锂电池，插槽式设计，无需螺丝刀工具支持快速拆卸和安装。</w:t>
      </w:r>
    </w:p>
    <w:p>
      <w:pPr>
        <w:autoSpaceDE w:val="0"/>
        <w:autoSpaceDN w:val="0"/>
        <w:adjustRightInd w:val="0"/>
        <w:spacing w:line="360" w:lineRule="auto"/>
        <w:ind w:left="420" w:left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2.7</w:t>
      </w:r>
      <w:r>
        <w:rPr>
          <w:rFonts w:hint="eastAsia" w:ascii="宋体" w:hAnsi="宋体" w:cs="Arial"/>
          <w:sz w:val="24"/>
        </w:rPr>
        <w:t>、安全规格：ECG, TEMP, IBP, SpO2 , NIBP监测参数抗电击程度为防除颤</w:t>
      </w:r>
      <w:r>
        <w:rPr>
          <w:rFonts w:hint="eastAsia" w:ascii="宋体" w:hAnsi="宋体"/>
          <w:sz w:val="24"/>
        </w:rPr>
        <w:t>CF型</w:t>
      </w:r>
      <w:r>
        <w:rPr>
          <w:rFonts w:ascii="宋体" w:hAnsi="宋体"/>
          <w:sz w:val="24"/>
        </w:rPr>
        <w:drawing>
          <wp:inline distT="0" distB="0" distL="0" distR="0">
            <wp:extent cx="257175" cy="152400"/>
            <wp:effectExtent l="19050" t="0" r="9525" b="0"/>
            <wp:docPr id="1026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1524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</w:rPr>
        <w:t>。</w:t>
      </w:r>
    </w:p>
    <w:p>
      <w:pPr>
        <w:autoSpaceDE w:val="0"/>
        <w:autoSpaceDN w:val="0"/>
        <w:adjustRightInd w:val="0"/>
        <w:spacing w:line="360" w:lineRule="auto"/>
        <w:ind w:left="420" w:leftChars="200"/>
        <w:jc w:val="left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/>
          <w:sz w:val="24"/>
        </w:rPr>
        <w:t>2.8、监护仪设计使用年限≥10年。</w:t>
      </w:r>
    </w:p>
    <w:p>
      <w:pPr>
        <w:autoSpaceDE w:val="0"/>
        <w:autoSpaceDN w:val="0"/>
        <w:adjustRightInd w:val="0"/>
        <w:spacing w:line="360" w:lineRule="auto"/>
        <w:ind w:left="420" w:left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2.9、配3/5导心电，呼吸，无创血压，血氧饱和度，脉搏和双通道体温参数监测</w:t>
      </w:r>
    </w:p>
    <w:p>
      <w:pPr>
        <w:autoSpaceDE w:val="0"/>
        <w:autoSpaceDN w:val="0"/>
        <w:adjustRightInd w:val="0"/>
        <w:spacing w:line="360" w:lineRule="auto"/>
        <w:ind w:left="420" w:left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2.10、心电监护支持心率，ST段测量，心律失常分析，QT/QTc连续实时测量和对应报警功能，QT和QTc实时监测参数测量范围：</w:t>
      </w:r>
      <w:r>
        <w:rPr>
          <w:rFonts w:ascii="宋体" w:hAnsi="宋体"/>
          <w:sz w:val="24"/>
        </w:rPr>
        <w:t>200</w:t>
      </w:r>
      <w:r>
        <w:rPr>
          <w:rFonts w:hint="eastAsia" w:ascii="宋体" w:hAnsi="宋体"/>
          <w:sz w:val="24"/>
        </w:rPr>
        <w:t>～</w:t>
      </w:r>
      <w:r>
        <w:rPr>
          <w:rFonts w:ascii="宋体" w:hAnsi="宋体"/>
          <w:sz w:val="24"/>
        </w:rPr>
        <w:t>800 ms</w:t>
      </w:r>
    </w:p>
    <w:p>
      <w:pPr>
        <w:autoSpaceDE w:val="0"/>
        <w:autoSpaceDN w:val="0"/>
        <w:adjustRightInd w:val="0"/>
        <w:spacing w:line="360" w:lineRule="auto"/>
        <w:ind w:left="420" w:left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2.11、支持≥20种心律失常分析,包括房颤分析。</w:t>
      </w:r>
    </w:p>
    <w:p>
      <w:pPr>
        <w:autoSpaceDE w:val="0"/>
        <w:autoSpaceDN w:val="0"/>
        <w:adjustRightInd w:val="0"/>
        <w:spacing w:line="360" w:lineRule="auto"/>
        <w:ind w:left="420" w:left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2.12、提供SpO2,PR和PI参数的实时监测，适用于成人，小儿和新生儿。</w:t>
      </w:r>
    </w:p>
    <w:p>
      <w:pPr>
        <w:autoSpaceDE w:val="0"/>
        <w:autoSpaceDN w:val="0"/>
        <w:adjustRightInd w:val="0"/>
        <w:spacing w:line="360" w:lineRule="auto"/>
        <w:ind w:left="420" w:left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2.13、配置无创血压测量，适用于成人，小儿和新生儿。</w:t>
      </w:r>
    </w:p>
    <w:p>
      <w:pPr>
        <w:spacing w:line="360" w:lineRule="auto"/>
        <w:ind w:left="420" w:leftChars="200" w:right="42" w:rightChars="2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2.14、支持所有监测参数报警限一键自动设置功能，满足医护团队快速管理患者报警需求，产品用户手册提供报警限自动设置规则。</w:t>
      </w:r>
    </w:p>
    <w:p>
      <w:pPr>
        <w:spacing w:line="360" w:lineRule="auto"/>
        <w:ind w:right="42" w:rightChars="20"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sz w:val="24"/>
        </w:rPr>
        <w:t>2.15、</w:t>
      </w:r>
      <w:r>
        <w:rPr>
          <w:rFonts w:ascii="宋体" w:hAnsi="宋体"/>
          <w:sz w:val="24"/>
        </w:rPr>
        <w:t>具有图形化</w:t>
      </w:r>
      <w:r>
        <w:rPr>
          <w:rFonts w:hint="eastAsia" w:ascii="宋体" w:hAnsi="宋体"/>
          <w:sz w:val="24"/>
        </w:rPr>
        <w:t>技术</w:t>
      </w:r>
      <w:r>
        <w:rPr>
          <w:rFonts w:ascii="宋体" w:hAnsi="宋体"/>
          <w:sz w:val="24"/>
        </w:rPr>
        <w:t>报警指示功能，</w:t>
      </w:r>
      <w:r>
        <w:rPr>
          <w:rFonts w:hint="eastAsia" w:ascii="宋体" w:hAnsi="宋体"/>
          <w:sz w:val="24"/>
        </w:rPr>
        <w:t>帮助医</w:t>
      </w:r>
      <w:r>
        <w:rPr>
          <w:rFonts w:ascii="宋体" w:hAnsi="宋体"/>
          <w:sz w:val="24"/>
        </w:rPr>
        <w:t>护团队快速识别</w:t>
      </w:r>
      <w:r>
        <w:rPr>
          <w:rFonts w:hint="eastAsia" w:ascii="宋体" w:hAnsi="宋体"/>
          <w:sz w:val="24"/>
        </w:rPr>
        <w:t>报警来</w:t>
      </w:r>
      <w:r>
        <w:rPr>
          <w:rFonts w:ascii="宋体" w:hAnsi="宋体"/>
          <w:sz w:val="24"/>
        </w:rPr>
        <w:t>源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left="420" w:leftChars="200" w:right="42" w:rightChars="2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sz w:val="24"/>
        </w:rPr>
        <w:t>2.16、支持≥120小时趋势图和趋势表回顾，支持选择不同趋势组回顾，≥</w:t>
      </w:r>
      <w:r>
        <w:rPr>
          <w:rFonts w:ascii="宋体" w:hAnsi="宋体"/>
          <w:sz w:val="24"/>
        </w:rPr>
        <w:t>1000条事件回顾</w:t>
      </w:r>
      <w:r>
        <w:rPr>
          <w:rFonts w:hint="eastAsia" w:ascii="宋体" w:hAnsi="宋体"/>
          <w:sz w:val="24"/>
        </w:rPr>
        <w:t>，≥1000组NIBP测</w:t>
      </w:r>
      <w:r>
        <w:rPr>
          <w:rFonts w:ascii="宋体" w:hAnsi="宋体"/>
          <w:sz w:val="24"/>
        </w:rPr>
        <w:t>量结果</w:t>
      </w:r>
      <w:r>
        <w:rPr>
          <w:rFonts w:hint="eastAsia" w:ascii="宋体" w:hAnsi="宋体"/>
          <w:sz w:val="24"/>
        </w:rPr>
        <w:t>，≥120小时ST模板存储与回顾，</w:t>
      </w:r>
      <w:r>
        <w:rPr>
          <w:rFonts w:hint="eastAsia" w:ascii="宋体" w:hAnsi="宋体"/>
          <w:color w:val="000000"/>
          <w:sz w:val="24"/>
        </w:rPr>
        <w:t>支持48小时全息波形的存储与回顾功能</w:t>
      </w:r>
    </w:p>
    <w:p>
      <w:pPr>
        <w:spacing w:line="360" w:lineRule="auto"/>
        <w:ind w:left="475" w:leftChars="226" w:right="42" w:rightChars="20"/>
        <w:rPr>
          <w:rFonts w:ascii="宋体" w:hAnsi="宋体"/>
          <w:sz w:val="24"/>
        </w:rPr>
      </w:pPr>
      <w:r>
        <w:rPr>
          <w:rFonts w:hint="eastAsia" w:ascii="宋体" w:hAnsi="宋体"/>
          <w:color w:val="000000"/>
          <w:sz w:val="24"/>
        </w:rPr>
        <w:t>2.17、支持监护仪历史病人数据的存储和回顾，并支持通过USB接口将历史病人数据导出到U盘。</w:t>
      </w:r>
    </w:p>
    <w:p>
      <w:pPr>
        <w:spacing w:line="360" w:lineRule="auto"/>
        <w:ind w:left="475" w:leftChars="226" w:right="84" w:rightChars="4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3.18、支持RJ45接口进行有线网络通信，和除颤监护仪一起联网通信到中心监护系统。</w:t>
      </w:r>
    </w:p>
    <w:p>
      <w:pPr>
        <w:spacing w:line="360" w:lineRule="auto"/>
        <w:ind w:left="475" w:leftChars="226" w:right="84" w:rightChars="4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3.19、支持监护仪进入夜间模式，隐私模式，演示模式和待机模式。</w:t>
      </w:r>
      <w:bookmarkStart w:id="0" w:name="_GoBack"/>
      <w:bookmarkEnd w:id="0"/>
    </w:p>
    <w:sectPr>
      <w:pgSz w:w="11906" w:h="16838"/>
      <w:pgMar w:top="1440" w:right="1274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yriad Pro">
    <w:altName w:val="Arial"/>
    <w:panose1 w:val="00000000000000000000"/>
    <w:charset w:val="00"/>
    <w:family w:val="swiss"/>
    <w:pitch w:val="default"/>
    <w:sig w:usb0="00000000" w:usb1="00000000" w:usb2="00000000" w:usb3="00000000" w:csb0="0000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1BD5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uiPriority w:val="1"/>
  </w:style>
  <w:style w:type="table" w:default="1" w:styleId="10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0"/>
    <w:qFormat/>
    <w:uiPriority w:val="0"/>
    <w:rPr>
      <w:rFonts w:ascii="宋体"/>
      <w:sz w:val="18"/>
      <w:szCs w:val="18"/>
    </w:rPr>
  </w:style>
  <w:style w:type="paragraph" w:styleId="4">
    <w:name w:val="annotation text"/>
    <w:basedOn w:val="1"/>
    <w:link w:val="18"/>
    <w:qFormat/>
    <w:uiPriority w:val="99"/>
    <w:pPr>
      <w:jc w:val="left"/>
    </w:pPr>
  </w:style>
  <w:style w:type="paragraph" w:styleId="5">
    <w:name w:val="Balloon Text"/>
    <w:basedOn w:val="1"/>
    <w:link w:val="19"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9">
    <w:name w:val="annotation subject"/>
    <w:basedOn w:val="4"/>
    <w:next w:val="4"/>
    <w:link w:val="21"/>
    <w:qFormat/>
    <w:uiPriority w:val="0"/>
    <w:rPr>
      <w:b/>
      <w:bCs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annotation reference"/>
    <w:uiPriority w:val="99"/>
    <w:rPr>
      <w:sz w:val="21"/>
      <w:szCs w:val="21"/>
    </w:rPr>
  </w:style>
  <w:style w:type="character" w:customStyle="1" w:styleId="14">
    <w:name w:val="页眉 Char"/>
    <w:link w:val="7"/>
    <w:qFormat/>
    <w:uiPriority w:val="0"/>
    <w:rPr>
      <w:kern w:val="2"/>
      <w:sz w:val="18"/>
      <w:szCs w:val="18"/>
    </w:rPr>
  </w:style>
  <w:style w:type="character" w:customStyle="1" w:styleId="15">
    <w:name w:val="页脚 Char"/>
    <w:link w:val="6"/>
    <w:qFormat/>
    <w:uiPriority w:val="0"/>
    <w:rPr>
      <w:kern w:val="2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Myriad Pro" w:hAnsi="Myriad Pro" w:eastAsia="Myriad Pro" w:cs="Myriad Pro"/>
      <w:color w:val="000000"/>
      <w:sz w:val="24"/>
      <w:szCs w:val="24"/>
      <w:lang w:val="en-US" w:eastAsia="zh-CN" w:bidi="ar-SA"/>
    </w:rPr>
  </w:style>
  <w:style w:type="character" w:customStyle="1" w:styleId="18">
    <w:name w:val="批注文字 Char"/>
    <w:link w:val="4"/>
    <w:qFormat/>
    <w:uiPriority w:val="99"/>
    <w:rPr>
      <w:kern w:val="2"/>
      <w:sz w:val="21"/>
      <w:szCs w:val="24"/>
    </w:rPr>
  </w:style>
  <w:style w:type="character" w:customStyle="1" w:styleId="19">
    <w:name w:val="批注框文本 Char"/>
    <w:link w:val="5"/>
    <w:qFormat/>
    <w:uiPriority w:val="0"/>
    <w:rPr>
      <w:kern w:val="2"/>
      <w:sz w:val="18"/>
      <w:szCs w:val="18"/>
    </w:rPr>
  </w:style>
  <w:style w:type="character" w:customStyle="1" w:styleId="20">
    <w:name w:val="文档结构图 Char"/>
    <w:basedOn w:val="12"/>
    <w:link w:val="3"/>
    <w:qFormat/>
    <w:uiPriority w:val="0"/>
    <w:rPr>
      <w:rFonts w:ascii="宋体"/>
      <w:kern w:val="2"/>
      <w:sz w:val="18"/>
      <w:szCs w:val="18"/>
    </w:rPr>
  </w:style>
  <w:style w:type="character" w:customStyle="1" w:styleId="21">
    <w:name w:val="批注主题 Char"/>
    <w:basedOn w:val="18"/>
    <w:link w:val="9"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23DB47-5E47-49E2-8E88-1E14AD6C97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mr</Company>
  <Pages>2</Pages>
  <Words>646</Words>
  <Characters>771</Characters>
  <Paragraphs>22</Paragraphs>
  <TotalTime>5</TotalTime>
  <ScaleCrop>false</ScaleCrop>
  <LinksUpToDate>false</LinksUpToDate>
  <CharactersWithSpaces>778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2019-06-05T05:51:00Z</dcterms:created>
  <dc:creator>50212362</dc:creator>
  <cp:lastModifiedBy>李卷卷</cp:lastModifiedBy>
  <dcterms:modified xsi:type="dcterms:W3CDTF">2022-01-12T08:48:07Z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feb1d7e0b19c4e7999c8bd9a4c084eee</vt:lpwstr>
  </property>
</Properties>
</file>